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D3E0FF" w14:textId="12814EC9" w:rsidR="006D7186" w:rsidRDefault="006D7186" w:rsidP="006D7186">
      <w:pPr>
        <w:pStyle w:val="Default"/>
        <w:rPr>
          <w:sz w:val="23"/>
          <w:szCs w:val="23"/>
        </w:rPr>
      </w:pPr>
      <w:r>
        <w:rPr>
          <w:b/>
          <w:bCs/>
          <w:sz w:val="22"/>
          <w:szCs w:val="22"/>
        </w:rPr>
        <w:t xml:space="preserve">Individual Assignment: Teaching and Learning Plan (Class Instruction Plan): </w:t>
      </w:r>
      <w:r>
        <w:rPr>
          <w:sz w:val="22"/>
          <w:szCs w:val="22"/>
        </w:rPr>
        <w:t xml:space="preserve">Each student is to design a teaching-learning plan for a specific 120-minute class </w:t>
      </w:r>
      <w:r>
        <w:rPr>
          <w:b/>
          <w:bCs/>
          <w:sz w:val="22"/>
          <w:szCs w:val="22"/>
        </w:rPr>
        <w:t>that promotes active learning, critical thinking and clinical reasoning for the course your team develops</w:t>
      </w:r>
      <w:r>
        <w:rPr>
          <w:sz w:val="22"/>
          <w:szCs w:val="22"/>
        </w:rPr>
        <w:t xml:space="preserve">. Each individual teaching plan must relate to the content area of the course developed by the team; however, it need not cover any specific class of the course. The teaching strategies should be unique to your individual class. </w:t>
      </w:r>
      <w:r>
        <w:rPr>
          <w:sz w:val="23"/>
          <w:szCs w:val="23"/>
        </w:rPr>
        <w:t>The teaching strategies should be unique to your individual class. Use the six steps identified on page 262- 266 in the Rowles (2012) reading from the 4</w:t>
      </w:r>
      <w:r>
        <w:rPr>
          <w:sz w:val="16"/>
          <w:szCs w:val="16"/>
        </w:rPr>
        <w:t xml:space="preserve">th </w:t>
      </w:r>
      <w:r>
        <w:rPr>
          <w:sz w:val="23"/>
          <w:szCs w:val="23"/>
        </w:rPr>
        <w:t xml:space="preserve">edition of the Billings &amp; Halstead (2012) textbook. Use the sample plan on page 263 as the format for your plan. However, provide a detailed content outline of the lecture within the table, rather than the brief outline shown in the sample plan. Include use of technology as appropriate. </w:t>
      </w:r>
    </w:p>
    <w:p w14:paraId="05B82CC5" w14:textId="77777777" w:rsidR="006D7186" w:rsidRDefault="006D7186" w:rsidP="006D7186">
      <w:pPr>
        <w:pStyle w:val="Default"/>
        <w:rPr>
          <w:sz w:val="23"/>
          <w:szCs w:val="23"/>
        </w:rPr>
      </w:pPr>
    </w:p>
    <w:p w14:paraId="0E6B7FC4" w14:textId="77777777" w:rsidR="006D7186" w:rsidRDefault="006D7186" w:rsidP="006D7186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Justify your teaching plan based upon the best-evidence available, your teaching philosophy, and learning theory. Documentation is expected from other sources as well as the required readings. </w:t>
      </w:r>
    </w:p>
    <w:p w14:paraId="4D112F9C" w14:textId="2C6AAC92" w:rsidR="006D7186" w:rsidRDefault="006D7186" w:rsidP="006D7186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Your assignment should include: </w:t>
      </w:r>
    </w:p>
    <w:p w14:paraId="136B329C" w14:textId="77777777" w:rsidR="006D7186" w:rsidRDefault="006D7186" w:rsidP="006D7186">
      <w:pPr>
        <w:pStyle w:val="Default"/>
        <w:rPr>
          <w:sz w:val="22"/>
          <w:szCs w:val="22"/>
        </w:rPr>
      </w:pPr>
    </w:p>
    <w:p w14:paraId="275C505C" w14:textId="77777777" w:rsidR="006D7186" w:rsidRDefault="006D7186" w:rsidP="006D7186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* A description of the content to be taught (1- 2 paragraphs). </w:t>
      </w:r>
    </w:p>
    <w:p w14:paraId="1B83A75A" w14:textId="77777777" w:rsidR="006D7186" w:rsidRDefault="006D7186" w:rsidP="006D7186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* A teaching-learning plan (in tabular format), which includes anticipatory set, learning outcomes, content outline, teaching and learning strategies, classroom assessment techniques, closure, and time periods. </w:t>
      </w:r>
    </w:p>
    <w:p w14:paraId="24B7D794" w14:textId="77777777" w:rsidR="006D7186" w:rsidRDefault="006D7186" w:rsidP="006D7186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* Description of specific teaching strategies to promote active learning, critical thinking, clinical reasoning and decision-making. </w:t>
      </w:r>
    </w:p>
    <w:p w14:paraId="3BD5FEDD" w14:textId="77777777" w:rsidR="006D7186" w:rsidRDefault="006D7186" w:rsidP="006D7186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* Demonstration of use of media and technology used to support student learning. </w:t>
      </w:r>
    </w:p>
    <w:p w14:paraId="1B9F43AC" w14:textId="77777777" w:rsidR="006D7186" w:rsidRDefault="006D7186" w:rsidP="006D7186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* Provision of evidence-based references to support teaching strategies. Use APA format for your reference list. </w:t>
      </w:r>
    </w:p>
    <w:p w14:paraId="47F3D9BA" w14:textId="77777777" w:rsidR="006D7186" w:rsidRDefault="006D7186" w:rsidP="006D7186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* Description of any perceived implementation issues. </w:t>
      </w:r>
    </w:p>
    <w:p w14:paraId="70F48FE8" w14:textId="77777777" w:rsidR="006D7186" w:rsidRDefault="006D7186" w:rsidP="006D7186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* Description of assessment strategies that support active learning, critical thinking, clinical reasoning, and decision-making that you plan to use (1-2 paragraphs). Use text citations to cite sources. </w:t>
      </w:r>
    </w:p>
    <w:p w14:paraId="7141A13A" w14:textId="77777777" w:rsidR="006D7186" w:rsidRDefault="006D7186" w:rsidP="006D7186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* Description of how the course exemplifies your teaching philosophy and/or learning theory. </w:t>
      </w:r>
    </w:p>
    <w:p w14:paraId="7DD32846" w14:textId="77777777" w:rsidR="006D7186" w:rsidRDefault="006D7186" w:rsidP="006D7186">
      <w:pPr>
        <w:pStyle w:val="Default"/>
        <w:rPr>
          <w:sz w:val="23"/>
          <w:szCs w:val="23"/>
        </w:rPr>
      </w:pPr>
      <w:r>
        <w:rPr>
          <w:sz w:val="22"/>
          <w:szCs w:val="22"/>
        </w:rPr>
        <w:t xml:space="preserve">* Identification of required readings for the class. [Note: If course has identified a textbook, readings should come from the textbook. You may have an additional reading if you so desire.] </w:t>
      </w:r>
      <w:r>
        <w:rPr>
          <w:sz w:val="23"/>
          <w:szCs w:val="23"/>
        </w:rPr>
        <w:t xml:space="preserve">16 </w:t>
      </w:r>
    </w:p>
    <w:p w14:paraId="28BD0F86" w14:textId="77777777" w:rsidR="006D7186" w:rsidRDefault="006D7186" w:rsidP="006D7186">
      <w:pPr>
        <w:pStyle w:val="Default"/>
        <w:rPr>
          <w:color w:val="auto"/>
        </w:rPr>
      </w:pPr>
    </w:p>
    <w:p w14:paraId="6EB834E7" w14:textId="30BB1553" w:rsidR="00EC6385" w:rsidRDefault="006D7186" w:rsidP="006D7186">
      <w:pPr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NOTE: </w:t>
      </w:r>
      <w:r>
        <w:rPr>
          <w:sz w:val="22"/>
          <w:szCs w:val="22"/>
        </w:rPr>
        <w:t xml:space="preserve">This individual assignment (Teaching &amp; Learning Plan) for Unit IV does relate to the course your Team is developing. The individual teaching plan is independent of the syllabus </w:t>
      </w:r>
      <w:r>
        <w:rPr>
          <w:b/>
          <w:bCs/>
          <w:sz w:val="22"/>
          <w:szCs w:val="22"/>
        </w:rPr>
        <w:t xml:space="preserve">except </w:t>
      </w:r>
      <w:r>
        <w:rPr>
          <w:sz w:val="22"/>
          <w:szCs w:val="22"/>
        </w:rPr>
        <w:t>the content of the teaching plan should correspond to the overall course syllabus content. You are free to design your teaching plan as you wish.</w:t>
      </w:r>
    </w:p>
    <w:p w14:paraId="142DF15D" w14:textId="419138F4" w:rsidR="00874ADC" w:rsidRDefault="00874ADC" w:rsidP="006D7186">
      <w:pPr>
        <w:rPr>
          <w:sz w:val="22"/>
          <w:szCs w:val="22"/>
        </w:rPr>
      </w:pPr>
    </w:p>
    <w:p w14:paraId="7B42BD02" w14:textId="24BCF403" w:rsidR="00874ADC" w:rsidRDefault="00874ADC" w:rsidP="006D7186">
      <w:pPr>
        <w:rPr>
          <w:sz w:val="22"/>
          <w:szCs w:val="22"/>
        </w:rPr>
      </w:pPr>
      <w:r>
        <w:rPr>
          <w:sz w:val="22"/>
          <w:szCs w:val="22"/>
        </w:rPr>
        <w:t>Helpful links:</w:t>
      </w:r>
    </w:p>
    <w:p w14:paraId="47E22807" w14:textId="3E01074F" w:rsidR="00874ADC" w:rsidRDefault="00874ADC" w:rsidP="00874ADC">
      <w:pPr>
        <w:pStyle w:val="Default"/>
        <w:rPr>
          <w:sz w:val="22"/>
          <w:szCs w:val="22"/>
        </w:rPr>
      </w:pPr>
      <w:proofErr w:type="spellStart"/>
      <w:r>
        <w:rPr>
          <w:sz w:val="22"/>
          <w:szCs w:val="22"/>
        </w:rPr>
        <w:t>Aljezawl</w:t>
      </w:r>
      <w:proofErr w:type="spellEnd"/>
      <w:r>
        <w:rPr>
          <w:sz w:val="22"/>
          <w:szCs w:val="22"/>
        </w:rPr>
        <w:t xml:space="preserve">, M., &amp; </w:t>
      </w:r>
      <w:proofErr w:type="spellStart"/>
      <w:r>
        <w:rPr>
          <w:sz w:val="22"/>
          <w:szCs w:val="22"/>
        </w:rPr>
        <w:t>Albashtawy</w:t>
      </w:r>
      <w:proofErr w:type="spellEnd"/>
      <w:r>
        <w:rPr>
          <w:sz w:val="22"/>
          <w:szCs w:val="22"/>
        </w:rPr>
        <w:t xml:space="preserve">, M. (2015). Quiz game teaching format versus didactic lectures. </w:t>
      </w:r>
      <w:r>
        <w:rPr>
          <w:i/>
          <w:iCs/>
          <w:sz w:val="22"/>
          <w:szCs w:val="22"/>
        </w:rPr>
        <w:t>British Journal of Nursing, 24</w:t>
      </w:r>
      <w:r>
        <w:rPr>
          <w:sz w:val="22"/>
          <w:szCs w:val="22"/>
        </w:rPr>
        <w:t xml:space="preserve">(2). 86-92. </w:t>
      </w:r>
    </w:p>
    <w:p w14:paraId="48824760" w14:textId="77777777" w:rsidR="00874ADC" w:rsidRDefault="00874ADC" w:rsidP="00874ADC">
      <w:pPr>
        <w:pStyle w:val="Default"/>
        <w:rPr>
          <w:sz w:val="22"/>
          <w:szCs w:val="22"/>
        </w:rPr>
      </w:pPr>
    </w:p>
    <w:p w14:paraId="7FE9DC3F" w14:textId="48F91A5F" w:rsidR="00874ADC" w:rsidRDefault="00874ADC" w:rsidP="00874ADC">
      <w:pPr>
        <w:rPr>
          <w:sz w:val="22"/>
          <w:szCs w:val="22"/>
        </w:rPr>
      </w:pPr>
      <w:r>
        <w:rPr>
          <w:sz w:val="22"/>
          <w:szCs w:val="22"/>
        </w:rPr>
        <w:t xml:space="preserve">Ashton, K.S. (2017). Teaching nursing student to care for patients who are inmates. </w:t>
      </w:r>
      <w:r>
        <w:rPr>
          <w:i/>
          <w:iCs/>
          <w:sz w:val="22"/>
          <w:szCs w:val="22"/>
        </w:rPr>
        <w:t>Journal of Nursing Education, 56</w:t>
      </w:r>
      <w:r>
        <w:rPr>
          <w:sz w:val="22"/>
          <w:szCs w:val="22"/>
        </w:rPr>
        <w:t>(11), 655-659.</w:t>
      </w:r>
    </w:p>
    <w:p w14:paraId="177588F4" w14:textId="1313B556" w:rsidR="00874ADC" w:rsidRDefault="00874ADC" w:rsidP="00874ADC">
      <w:pPr>
        <w:rPr>
          <w:sz w:val="22"/>
          <w:szCs w:val="22"/>
        </w:rPr>
      </w:pPr>
    </w:p>
    <w:p w14:paraId="76205CA9" w14:textId="2FAB5F94" w:rsidR="00874ADC" w:rsidRDefault="00874ADC" w:rsidP="00874ADC">
      <w:pPr>
        <w:rPr>
          <w:sz w:val="22"/>
          <w:szCs w:val="22"/>
        </w:rPr>
      </w:pPr>
      <w:r>
        <w:rPr>
          <w:sz w:val="22"/>
          <w:szCs w:val="22"/>
        </w:rPr>
        <w:t xml:space="preserve">Baker, K.F. (2011). Active learning: Relevancy matters. </w:t>
      </w:r>
      <w:r>
        <w:rPr>
          <w:i/>
          <w:iCs/>
          <w:sz w:val="22"/>
          <w:szCs w:val="22"/>
        </w:rPr>
        <w:t>Perspectives on Issues in Higher Education, 14</w:t>
      </w:r>
      <w:r>
        <w:rPr>
          <w:sz w:val="22"/>
          <w:szCs w:val="22"/>
        </w:rPr>
        <w:t>(2), 64-69.</w:t>
      </w:r>
    </w:p>
    <w:p w14:paraId="5C7E7A6B" w14:textId="7B2B49E9" w:rsidR="00874ADC" w:rsidRDefault="00874ADC" w:rsidP="00874ADC">
      <w:pPr>
        <w:rPr>
          <w:sz w:val="22"/>
          <w:szCs w:val="22"/>
        </w:rPr>
      </w:pPr>
    </w:p>
    <w:p w14:paraId="46BF7731" w14:textId="54A41099" w:rsidR="00874ADC" w:rsidRDefault="00874ADC" w:rsidP="00874ADC">
      <w:pPr>
        <w:rPr>
          <w:sz w:val="22"/>
          <w:szCs w:val="22"/>
        </w:rPr>
      </w:pPr>
      <w:proofErr w:type="spellStart"/>
      <w:r>
        <w:rPr>
          <w:sz w:val="22"/>
          <w:szCs w:val="22"/>
        </w:rPr>
        <w:t>Carmac</w:t>
      </w:r>
      <w:proofErr w:type="spellEnd"/>
      <w:r>
        <w:rPr>
          <w:sz w:val="22"/>
          <w:szCs w:val="22"/>
        </w:rPr>
        <w:t xml:space="preserve">, J. N., &amp; Kemery, S. (2018). Teaching methodologies for end-of-life care in undergraduate nursing students. </w:t>
      </w:r>
      <w:r>
        <w:rPr>
          <w:i/>
          <w:iCs/>
          <w:sz w:val="22"/>
          <w:szCs w:val="22"/>
        </w:rPr>
        <w:t>Journal of Nursing Education, 57</w:t>
      </w:r>
      <w:r>
        <w:rPr>
          <w:sz w:val="22"/>
          <w:szCs w:val="22"/>
        </w:rPr>
        <w:t>(2), 96-100.</w:t>
      </w:r>
    </w:p>
    <w:p w14:paraId="351DB039" w14:textId="4EFE5119" w:rsidR="00874ADC" w:rsidRDefault="00874ADC" w:rsidP="00874ADC">
      <w:pPr>
        <w:rPr>
          <w:sz w:val="22"/>
          <w:szCs w:val="22"/>
        </w:rPr>
      </w:pPr>
    </w:p>
    <w:p w14:paraId="0D7A167C" w14:textId="2B4EC5C6" w:rsidR="00874ADC" w:rsidRDefault="00874ADC" w:rsidP="00874ADC">
      <w:pPr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Costa, M. L., Van Rensburg, L., &amp; Rushton, N. (2007). Does teaching style matter? A </w:t>
      </w:r>
      <w:proofErr w:type="spellStart"/>
      <w:r>
        <w:rPr>
          <w:sz w:val="22"/>
          <w:szCs w:val="22"/>
        </w:rPr>
        <w:t>randomised</w:t>
      </w:r>
      <w:proofErr w:type="spellEnd"/>
      <w:r>
        <w:rPr>
          <w:sz w:val="22"/>
          <w:szCs w:val="22"/>
        </w:rPr>
        <w:t xml:space="preserve"> trial of group discussion versus lectures in </w:t>
      </w:r>
      <w:proofErr w:type="spellStart"/>
      <w:r>
        <w:rPr>
          <w:sz w:val="22"/>
          <w:szCs w:val="22"/>
        </w:rPr>
        <w:t>orthopaedic</w:t>
      </w:r>
      <w:proofErr w:type="spellEnd"/>
      <w:r>
        <w:rPr>
          <w:sz w:val="22"/>
          <w:szCs w:val="22"/>
        </w:rPr>
        <w:t xml:space="preserve"> undergraduate teaching. </w:t>
      </w:r>
      <w:r>
        <w:rPr>
          <w:i/>
          <w:iCs/>
          <w:sz w:val="22"/>
          <w:szCs w:val="22"/>
        </w:rPr>
        <w:t>Medical Education, 41</w:t>
      </w:r>
      <w:r>
        <w:rPr>
          <w:sz w:val="22"/>
          <w:szCs w:val="22"/>
        </w:rPr>
        <w:t>, 214-217.</w:t>
      </w:r>
    </w:p>
    <w:p w14:paraId="0805FF2C" w14:textId="691ADDF9" w:rsidR="005B0613" w:rsidRDefault="005B0613" w:rsidP="00874ADC">
      <w:pPr>
        <w:rPr>
          <w:sz w:val="22"/>
          <w:szCs w:val="22"/>
        </w:rPr>
      </w:pPr>
    </w:p>
    <w:p w14:paraId="46C292FE" w14:textId="2BAD274C" w:rsidR="005B0613" w:rsidRDefault="005B0613" w:rsidP="00874ADC">
      <w:r>
        <w:rPr>
          <w:sz w:val="22"/>
          <w:szCs w:val="22"/>
        </w:rPr>
        <w:t xml:space="preserve">Dozier, A., Gilbert, B., Hughes, V., Mathis, D., &amp; Jenkins, L. (2021). The use of active learning strategies During the COVID-19 pandemic to promote critical thinking. </w:t>
      </w:r>
      <w:r>
        <w:rPr>
          <w:i/>
          <w:iCs/>
          <w:sz w:val="22"/>
          <w:szCs w:val="22"/>
        </w:rPr>
        <w:t>ABNF Journal, 32</w:t>
      </w:r>
      <w:r>
        <w:rPr>
          <w:sz w:val="22"/>
          <w:szCs w:val="22"/>
        </w:rPr>
        <w:t>(1),12-16</w:t>
      </w:r>
    </w:p>
    <w:sectPr w:rsidR="005B0613" w:rsidSect="00547A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7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186"/>
    <w:rsid w:val="0032785A"/>
    <w:rsid w:val="00547A21"/>
    <w:rsid w:val="005B0613"/>
    <w:rsid w:val="006D7186"/>
    <w:rsid w:val="00874ADC"/>
    <w:rsid w:val="00F76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640D34"/>
  <w15:chartTrackingRefBased/>
  <w15:docId w15:val="{37A5A5AC-BE6B-D346-A239-74805E87F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D7186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540</Words>
  <Characters>3079</Characters>
  <Application>Microsoft Office Word</Application>
  <DocSecurity>0</DocSecurity>
  <Lines>25</Lines>
  <Paragraphs>7</Paragraphs>
  <ScaleCrop>false</ScaleCrop>
  <Company/>
  <LinksUpToDate>false</LinksUpToDate>
  <CharactersWithSpaces>3612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Bafail, Ranya</dc:creator>
  <cp:keywords/>
  <dc:description/>
  <cp:lastModifiedBy>Bafail, Ranya</cp:lastModifiedBy>
  <cp:revision>3</cp:revision>
  <dcterms:created xsi:type="dcterms:W3CDTF">2021-10-06T23:47:00Z</dcterms:created>
  <dcterms:modified xsi:type="dcterms:W3CDTF">2021-10-06T23:59:00Z</dcterms:modified>
</cp:coreProperties>
</file>